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6268"/>
        <w:rPr>
          <w:sz w:val="20"/>
        </w:rPr>
      </w:pPr>
      <w:r>
        <w:rPr>
          <w:sz w:val="20"/>
        </w:rPr>
        <w:drawing>
          <wp:inline distT="0" distB="0" distL="0" distR="0">
            <wp:extent cx="2686050" cy="400050"/>
            <wp:effectExtent l="0" t="0" r="0" b="0"/>
            <wp:docPr id="1" name="image1.png" descr="Картинки по запросу глонасссоф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Картинки по запросу глонасссофт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1"/>
        </w:rPr>
      </w:pPr>
    </w:p>
    <w:p>
      <w:pPr>
        <w:pStyle w:val="5"/>
        <w:jc w:val="center"/>
        <w:rPr>
          <w:rFonts w:hint="default"/>
          <w:sz w:val="30"/>
          <w:lang w:val="ru-RU"/>
        </w:rPr>
      </w:pPr>
      <w:r>
        <w:rPr>
          <w:rFonts w:hint="default"/>
          <w:sz w:val="30"/>
          <w:lang w:val="en-US"/>
        </w:rPr>
        <w:t xml:space="preserve"> Self-resetting fuse</w:t>
      </w:r>
    </w:p>
    <w:p>
      <w:pPr>
        <w:pStyle w:val="5"/>
        <w:rPr>
          <w:sz w:val="30"/>
        </w:rPr>
      </w:pPr>
    </w:p>
    <w:p>
      <w:pPr>
        <w:pStyle w:val="5"/>
        <w:rPr>
          <w:sz w:val="30"/>
        </w:rPr>
      </w:pPr>
    </w:p>
    <w:p>
      <w:pPr>
        <w:spacing w:before="253" w:line="720" w:lineRule="auto"/>
        <w:ind w:left="4073" w:right="3815" w:firstLine="679"/>
        <w:jc w:val="left"/>
        <w:rPr>
          <w:rFonts w:hint="default"/>
          <w:sz w:val="28"/>
          <w:lang w:val="en-US"/>
        </w:rPr>
      </w:pPr>
      <w:r>
        <w:rPr>
          <w:rFonts w:hint="default"/>
          <w:sz w:val="28"/>
          <w:lang w:val="en-US"/>
        </w:rPr>
        <w:t>PASSPORT</w:t>
      </w:r>
    </w:p>
    <w:p>
      <w:pPr>
        <w:spacing w:before="253" w:line="720" w:lineRule="auto"/>
        <w:ind w:right="3815"/>
        <w:jc w:val="center"/>
        <w:rPr>
          <w:sz w:val="28"/>
        </w:rPr>
      </w:pPr>
      <w:r>
        <w:rPr>
          <w:rFonts w:hint="default"/>
          <w:sz w:val="28"/>
          <w:lang w:val="en-US"/>
        </w:rPr>
        <w:t xml:space="preserve">                                                          </w:t>
      </w:r>
      <w:r>
        <w:rPr>
          <w:sz w:val="28"/>
        </w:rPr>
        <w:t>ВБРМ 048.000.000 ПС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6080125</wp:posOffset>
            </wp:positionH>
            <wp:positionV relativeFrom="paragraph">
              <wp:posOffset>236220</wp:posOffset>
            </wp:positionV>
            <wp:extent cx="920750" cy="1024255"/>
            <wp:effectExtent l="0" t="0" r="0" b="0"/>
            <wp:wrapTopAndBottom/>
            <wp:docPr id="3" name="image2.png" descr="Картинки по запросу знак eac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Картинки по запросу знак eac размер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49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type w:val="continuous"/>
          <w:pgSz w:w="11910" w:h="16840"/>
          <w:pgMar w:top="960" w:right="580" w:bottom="280" w:left="740" w:header="720" w:footer="720" w:gutter="0"/>
          <w:cols w:space="720" w:num="1"/>
        </w:sectPr>
      </w:pPr>
    </w:p>
    <w:p>
      <w:pPr>
        <w:keepNext w:val="0"/>
        <w:keepLines w:val="0"/>
        <w:widowControl/>
        <w:suppressLineNumbers w:val="0"/>
        <w:jc w:val="center"/>
      </w:pPr>
      <w:r>
        <w:rPr>
          <w:sz w:val="28"/>
        </w:rPr>
        <w:t xml:space="preserve">1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BASIC INFORMATION AND TECHNICAL CHARACTERISTICS</w:t>
      </w:r>
    </w:p>
    <w:p>
      <w:pPr>
        <w:pStyle w:val="5"/>
        <w:spacing w:before="1"/>
        <w:rPr>
          <w:sz w:val="28"/>
        </w:rPr>
      </w:pPr>
    </w:p>
    <w:p>
      <w:pPr>
        <w:spacing w:before="0"/>
        <w:ind w:left="179" w:right="0" w:firstLine="811"/>
        <w:jc w:val="left"/>
        <w:rPr>
          <w:sz w:val="26"/>
        </w:rPr>
      </w:pPr>
      <w:r>
        <w:rPr>
          <w:rFonts w:hint="default"/>
          <w:sz w:val="28"/>
          <w:lang w:val="en-US"/>
        </w:rPr>
        <w:t>Self-resetting fuse is designed for protecting electrical devices from short-circuit and overload current</w:t>
      </w:r>
      <w:r>
        <w:rPr>
          <w:rFonts w:hint="default"/>
          <w:sz w:val="28"/>
          <w:lang w:val="ru-RU"/>
        </w:rPr>
        <w:t xml:space="preserve">. </w:t>
      </w:r>
    </w:p>
    <w:p>
      <w:pPr>
        <w:pStyle w:val="5"/>
        <w:ind w:left="817"/>
        <w:jc w:val="both"/>
      </w:pPr>
      <w:r>
        <w:rPr>
          <w:rFonts w:hint="default"/>
          <w:lang w:val="en-US"/>
        </w:rPr>
        <w:t>Main technical features are represented in Table</w:t>
      </w:r>
      <w:r>
        <w:t xml:space="preserve"> 1.</w:t>
      </w:r>
    </w:p>
    <w:p>
      <w:pPr>
        <w:pStyle w:val="5"/>
        <w:spacing w:before="11"/>
        <w:rPr>
          <w:sz w:val="25"/>
        </w:rPr>
      </w:pPr>
    </w:p>
    <w:p>
      <w:pPr>
        <w:pStyle w:val="5"/>
        <w:spacing w:before="1" w:after="31" w:line="480" w:lineRule="auto"/>
        <w:ind w:left="537" w:right="4424"/>
      </w:pPr>
      <w:r>
        <w:rPr>
          <w:rFonts w:hint="default"/>
          <w:lang w:val="en-US"/>
        </w:rPr>
        <w:t>Table</w:t>
      </w:r>
      <w:r>
        <w:t xml:space="preserve"> 1 – </w:t>
      </w:r>
      <w:r>
        <w:rPr>
          <w:rFonts w:hint="default"/>
          <w:lang w:val="en-US"/>
        </w:rPr>
        <w:t xml:space="preserve">Technical characteristics </w:t>
      </w:r>
    </w:p>
    <w:tbl>
      <w:tblPr>
        <w:tblStyle w:val="4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2"/>
        <w:gridCol w:w="3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522" w:type="dxa"/>
          </w:tcPr>
          <w:p>
            <w:pPr>
              <w:pStyle w:val="8"/>
              <w:spacing w:line="277" w:lineRule="exact"/>
              <w:ind w:left="2707" w:right="2691"/>
              <w:jc w:val="center"/>
              <w:rPr>
                <w:rFonts w:hint="default"/>
                <w:sz w:val="26"/>
                <w:lang w:val="en-US"/>
              </w:rPr>
            </w:pPr>
            <w:r>
              <w:rPr>
                <w:rFonts w:hint="default"/>
                <w:sz w:val="26"/>
                <w:lang w:val="en-US"/>
              </w:rPr>
              <w:t>Parameter</w:t>
            </w:r>
          </w:p>
        </w:tc>
        <w:tc>
          <w:tcPr>
            <w:tcW w:w="3687" w:type="dxa"/>
          </w:tcPr>
          <w:p>
            <w:pPr>
              <w:pStyle w:val="8"/>
              <w:spacing w:line="277" w:lineRule="exact"/>
              <w:ind w:left="1298" w:right="1285"/>
              <w:jc w:val="center"/>
              <w:rPr>
                <w:rFonts w:hint="default"/>
                <w:sz w:val="26"/>
                <w:lang w:val="en-US"/>
              </w:rPr>
            </w:pPr>
            <w:r>
              <w:rPr>
                <w:rFonts w:hint="default"/>
                <w:sz w:val="26"/>
                <w:lang w:val="en-US"/>
              </w:rPr>
              <w:t>Value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522" w:type="dxa"/>
          </w:tcPr>
          <w:p>
            <w:pPr>
              <w:pStyle w:val="8"/>
              <w:rPr>
                <w:rFonts w:hint="default"/>
                <w:sz w:val="26"/>
                <w:lang w:val="en-US"/>
              </w:rPr>
            </w:pPr>
            <w:r>
              <w:rPr>
                <w:rFonts w:hint="default"/>
                <w:sz w:val="26"/>
                <w:lang w:val="en-US"/>
              </w:rPr>
              <w:t>Self-resetting fuse</w:t>
            </w:r>
          </w:p>
        </w:tc>
        <w:tc>
          <w:tcPr>
            <w:tcW w:w="3687" w:type="dxa"/>
          </w:tcPr>
          <w:p>
            <w:pPr>
              <w:pStyle w:val="8"/>
              <w:ind w:left="208"/>
              <w:jc w:val="center"/>
              <w:rPr>
                <w:sz w:val="26"/>
              </w:rPr>
            </w:pPr>
            <w:r>
              <w:rPr>
                <w:rFonts w:hint="default"/>
                <w:sz w:val="26"/>
                <w:lang w:val="en-US"/>
              </w:rPr>
              <w:t>Standard</w:t>
            </w:r>
            <w:r>
              <w:rPr>
                <w:sz w:val="26"/>
              </w:rPr>
              <w:t xml:space="preserve"> (</w:t>
            </w:r>
            <w:r>
              <w:rPr>
                <w:rFonts w:hint="default"/>
                <w:sz w:val="26"/>
                <w:lang w:val="en-US"/>
              </w:rPr>
              <w:t>middle</w:t>
            </w:r>
            <w:r>
              <w:rPr>
                <w:sz w:val="26"/>
              </w:rPr>
              <w:t>) 3А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522" w:type="dxa"/>
          </w:tcPr>
          <w:p>
            <w:pPr>
              <w:pStyle w:val="8"/>
              <w:rPr>
                <w:rFonts w:hint="default"/>
                <w:sz w:val="26"/>
                <w:lang w:val="en-US"/>
              </w:rPr>
            </w:pPr>
            <w:r>
              <w:rPr>
                <w:rFonts w:hint="default"/>
                <w:sz w:val="26"/>
                <w:lang w:val="en-US"/>
              </w:rPr>
              <w:t>Maximum operational voltage</w:t>
            </w:r>
          </w:p>
        </w:tc>
        <w:tc>
          <w:tcPr>
            <w:tcW w:w="3687" w:type="dxa"/>
          </w:tcPr>
          <w:p>
            <w:pPr>
              <w:pStyle w:val="8"/>
              <w:ind w:left="1061" w:right="1299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  <w:r>
              <w:rPr>
                <w:rFonts w:hint="default"/>
                <w:sz w:val="26"/>
                <w:lang w:val="en-US"/>
              </w:rPr>
              <w:t>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522" w:type="dxa"/>
          </w:tcPr>
          <w:p>
            <w:pPr>
              <w:pStyle w:val="8"/>
              <w:rPr>
                <w:sz w:val="26"/>
              </w:rPr>
            </w:pPr>
            <w:r>
              <w:rPr>
                <w:rFonts w:hint="default"/>
                <w:sz w:val="26"/>
                <w:lang w:val="en-US"/>
              </w:rPr>
              <w:t>Current rating by</w:t>
            </w:r>
            <w:r>
              <w:rPr>
                <w:sz w:val="26"/>
              </w:rPr>
              <w:t xml:space="preserve"> t=20 °C</w:t>
            </w:r>
          </w:p>
        </w:tc>
        <w:tc>
          <w:tcPr>
            <w:tcW w:w="3687" w:type="dxa"/>
          </w:tcPr>
          <w:p>
            <w:pPr>
              <w:pStyle w:val="8"/>
              <w:ind w:left="1059" w:right="1299"/>
              <w:jc w:val="center"/>
              <w:rPr>
                <w:sz w:val="26"/>
              </w:rPr>
            </w:pPr>
            <w:r>
              <w:rPr>
                <w:sz w:val="26"/>
              </w:rPr>
              <w:t>0,55А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522" w:type="dxa"/>
          </w:tcPr>
          <w:p>
            <w:pPr>
              <w:pStyle w:val="8"/>
              <w:spacing w:line="277" w:lineRule="exact"/>
              <w:rPr>
                <w:rFonts w:hint="default"/>
                <w:sz w:val="26"/>
                <w:lang w:val="en-US"/>
              </w:rPr>
            </w:pPr>
            <w:r>
              <w:rPr>
                <w:rFonts w:hint="default"/>
                <w:sz w:val="26"/>
                <w:lang w:val="en-US"/>
              </w:rPr>
              <w:t>Minimum operating current</w:t>
            </w:r>
          </w:p>
        </w:tc>
        <w:tc>
          <w:tcPr>
            <w:tcW w:w="3687" w:type="dxa"/>
          </w:tcPr>
          <w:p>
            <w:pPr>
              <w:pStyle w:val="8"/>
              <w:spacing w:line="277" w:lineRule="exact"/>
              <w:ind w:left="1059" w:right="1299"/>
              <w:jc w:val="center"/>
              <w:rPr>
                <w:sz w:val="26"/>
              </w:rPr>
            </w:pPr>
            <w:r>
              <w:rPr>
                <w:sz w:val="26"/>
              </w:rPr>
              <w:t>1,10А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522" w:type="dxa"/>
          </w:tcPr>
          <w:p>
            <w:pPr>
              <w:pStyle w:val="8"/>
              <w:rPr>
                <w:sz w:val="26"/>
              </w:rPr>
            </w:pPr>
            <w:r>
              <w:rPr>
                <w:rFonts w:hint="default"/>
                <w:sz w:val="26"/>
                <w:lang w:val="en-US"/>
              </w:rPr>
              <w:t>Operating time by current</w:t>
            </w:r>
            <w:r>
              <w:rPr>
                <w:sz w:val="26"/>
              </w:rPr>
              <w:t xml:space="preserve"> 3А</w:t>
            </w:r>
          </w:p>
        </w:tc>
        <w:tc>
          <w:tcPr>
            <w:tcW w:w="3687" w:type="dxa"/>
          </w:tcPr>
          <w:p>
            <w:pPr>
              <w:pStyle w:val="8"/>
              <w:ind w:left="849"/>
              <w:rPr>
                <w:rFonts w:hint="default"/>
                <w:sz w:val="26"/>
                <w:lang w:val="en-US"/>
              </w:rPr>
            </w:pPr>
            <w:r>
              <w:rPr>
                <w:rFonts w:hint="default"/>
                <w:sz w:val="26"/>
                <w:lang w:val="en-US"/>
              </w:rPr>
              <w:t>No longer than</w:t>
            </w:r>
            <w:r>
              <w:rPr>
                <w:sz w:val="26"/>
              </w:rPr>
              <w:t xml:space="preserve"> 0,2</w:t>
            </w:r>
            <w:r>
              <w:rPr>
                <w:rFonts w:hint="default"/>
                <w:sz w:val="26"/>
                <w:lang w:val="en-US"/>
              </w:rPr>
              <w:t xml:space="preserve"> sec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522" w:type="dxa"/>
          </w:tcPr>
          <w:p>
            <w:pPr>
              <w:pStyle w:val="8"/>
              <w:rPr>
                <w:rFonts w:hint="default"/>
                <w:sz w:val="26"/>
                <w:lang w:val="en-US"/>
              </w:rPr>
            </w:pPr>
            <w:r>
              <w:rPr>
                <w:rFonts w:hint="default"/>
                <w:sz w:val="26"/>
                <w:lang w:val="en-US"/>
              </w:rPr>
              <w:t>Wire material</w:t>
            </w:r>
          </w:p>
        </w:tc>
        <w:tc>
          <w:tcPr>
            <w:tcW w:w="3687" w:type="dxa"/>
          </w:tcPr>
          <w:p>
            <w:pPr>
              <w:pStyle w:val="8"/>
              <w:ind w:left="374"/>
              <w:jc w:val="center"/>
              <w:rPr>
                <w:sz w:val="26"/>
              </w:rPr>
            </w:pPr>
            <w:r>
              <w:rPr>
                <w:rFonts w:hint="default"/>
                <w:sz w:val="26"/>
                <w:lang w:val="en-US"/>
              </w:rPr>
              <w:t>Copper</w:t>
            </w:r>
            <w:r>
              <w:rPr>
                <w:sz w:val="26"/>
              </w:rPr>
              <w:t xml:space="preserve"> </w:t>
            </w:r>
            <w:r>
              <w:rPr>
                <w:rFonts w:hint="default"/>
                <w:sz w:val="26"/>
              </w:rPr>
              <w:t>multicore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522" w:type="dxa"/>
          </w:tcPr>
          <w:p>
            <w:pPr>
              <w:pStyle w:val="8"/>
              <w:spacing w:line="277" w:lineRule="exact"/>
              <w:rPr>
                <w:sz w:val="26"/>
              </w:rPr>
            </w:pPr>
            <w:r>
              <w:rPr>
                <w:rFonts w:hint="default"/>
                <w:sz w:val="26"/>
                <w:lang w:val="en-US"/>
              </w:rPr>
              <w:t>W</w:t>
            </w:r>
            <w:r>
              <w:rPr>
                <w:rFonts w:hint="default"/>
                <w:sz w:val="26"/>
              </w:rPr>
              <w:t>ire cross-section</w:t>
            </w:r>
          </w:p>
        </w:tc>
        <w:tc>
          <w:tcPr>
            <w:tcW w:w="3687" w:type="dxa"/>
          </w:tcPr>
          <w:p>
            <w:pPr>
              <w:pStyle w:val="8"/>
              <w:spacing w:line="277" w:lineRule="exact"/>
              <w:ind w:left="1063" w:right="1299"/>
              <w:jc w:val="center"/>
              <w:rPr>
                <w:sz w:val="26"/>
              </w:rPr>
            </w:pPr>
            <w:r>
              <w:rPr>
                <w:sz w:val="26"/>
              </w:rPr>
              <w:t>0,5 мм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522" w:type="dxa"/>
          </w:tcPr>
          <w:p>
            <w:pPr>
              <w:pStyle w:val="8"/>
              <w:rPr>
                <w:rFonts w:hint="default"/>
                <w:sz w:val="26"/>
                <w:lang w:val="en-US"/>
              </w:rPr>
            </w:pPr>
            <w:r>
              <w:rPr>
                <w:rFonts w:hint="default"/>
                <w:sz w:val="26"/>
                <w:lang w:val="en-US"/>
              </w:rPr>
              <w:t>Operational temperature</w:t>
            </w:r>
          </w:p>
        </w:tc>
        <w:tc>
          <w:tcPr>
            <w:tcW w:w="3687" w:type="dxa"/>
          </w:tcPr>
          <w:p>
            <w:pPr>
              <w:pStyle w:val="8"/>
              <w:ind w:left="1041"/>
              <w:rPr>
                <w:sz w:val="26"/>
              </w:rPr>
            </w:pPr>
            <w:r>
              <w:rPr>
                <w:sz w:val="26"/>
              </w:rPr>
              <w:t>-40…+80 °С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522" w:type="dxa"/>
          </w:tcPr>
          <w:p>
            <w:pPr>
              <w:pStyle w:val="8"/>
              <w:rPr>
                <w:rFonts w:hint="default"/>
                <w:sz w:val="26"/>
                <w:lang w:val="en-US"/>
              </w:rPr>
            </w:pPr>
            <w:r>
              <w:rPr>
                <w:rFonts w:hint="default"/>
                <w:sz w:val="26"/>
                <w:lang w:val="en-US"/>
              </w:rPr>
              <w:t>Case protection rating</w:t>
            </w:r>
          </w:p>
        </w:tc>
        <w:tc>
          <w:tcPr>
            <w:tcW w:w="3687" w:type="dxa"/>
          </w:tcPr>
          <w:p>
            <w:pPr>
              <w:pStyle w:val="8"/>
              <w:ind w:left="1059" w:right="1299"/>
              <w:jc w:val="center"/>
              <w:rPr>
                <w:sz w:val="26"/>
              </w:rPr>
            </w:pPr>
            <w:r>
              <w:rPr>
                <w:sz w:val="26"/>
              </w:rPr>
              <w:t>IP 54</w:t>
            </w:r>
          </w:p>
        </w:tc>
      </w:tr>
    </w:tbl>
    <w:p>
      <w:pPr>
        <w:pStyle w:val="2"/>
        <w:spacing w:before="233"/>
        <w:ind w:left="2684"/>
        <w:rPr>
          <w:rFonts w:hint="default"/>
          <w:lang w:val="en-US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1437005</wp:posOffset>
            </wp:positionH>
            <wp:positionV relativeFrom="paragraph">
              <wp:posOffset>367665</wp:posOffset>
            </wp:positionV>
            <wp:extent cx="4685030" cy="136715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007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 </w:t>
      </w:r>
      <w:r>
        <w:rPr>
          <w:rFonts w:hint="default"/>
          <w:lang w:val="en-US"/>
        </w:rPr>
        <w:t>DESCRIPTION</w:t>
      </w:r>
    </w:p>
    <w:p>
      <w:pPr>
        <w:pStyle w:val="5"/>
        <w:spacing w:before="229" w:after="9"/>
        <w:ind w:left="215"/>
        <w:rPr>
          <w:rFonts w:hint="default"/>
          <w:lang w:val="en-US"/>
        </w:rPr>
      </w:pPr>
      <w:r>
        <w:rPr>
          <w:rFonts w:hint="default"/>
          <w:lang w:val="en-US"/>
        </w:rPr>
        <w:t>Table</w:t>
      </w:r>
      <w:r>
        <w:t xml:space="preserve"> 2: </w:t>
      </w:r>
      <w:r>
        <w:rPr>
          <w:rFonts w:hint="default"/>
          <w:lang w:val="en-US"/>
        </w:rPr>
        <w:t>Self-resetting fuse</w:t>
      </w:r>
    </w:p>
    <w:tbl>
      <w:tblPr>
        <w:tblStyle w:val="4"/>
        <w:tblW w:w="0" w:type="auto"/>
        <w:tblInd w:w="21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5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39" w:type="dxa"/>
          </w:tcPr>
          <w:p>
            <w:pPr>
              <w:pStyle w:val="8"/>
              <w:spacing w:line="256" w:lineRule="exact"/>
              <w:ind w:left="10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Input</w:t>
            </w:r>
          </w:p>
        </w:tc>
        <w:tc>
          <w:tcPr>
            <w:tcW w:w="5358" w:type="dxa"/>
          </w:tcPr>
          <w:p>
            <w:pPr>
              <w:pStyle w:val="8"/>
              <w:spacing w:line="256" w:lineRule="exact"/>
              <w:ind w:left="10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Assignment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39" w:type="dxa"/>
          </w:tcPr>
          <w:p>
            <w:pPr>
              <w:pStyle w:val="8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8" w:type="dxa"/>
          </w:tcPr>
          <w:p>
            <w:pPr>
              <w:pStyle w:val="8"/>
              <w:spacing w:line="256" w:lineRule="exact"/>
              <w:ind w:left="10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Standard 3A fuse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39" w:type="dxa"/>
          </w:tcPr>
          <w:p>
            <w:pPr>
              <w:pStyle w:val="8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8" w:type="dxa"/>
          </w:tcPr>
          <w:p>
            <w:pPr>
              <w:pStyle w:val="8"/>
              <w:spacing w:line="258" w:lineRule="exact"/>
              <w:ind w:left="10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Self-resetting fuse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480" w:right="580" w:bottom="280" w:left="740" w:header="720" w:footer="720" w:gutter="0"/>
          <w:cols w:space="720" w:num="1"/>
        </w:sectPr>
      </w:pPr>
    </w:p>
    <w:p>
      <w:pPr>
        <w:pStyle w:val="5"/>
        <w:spacing w:before="7"/>
        <w:rPr>
          <w:sz w:val="35"/>
        </w:rPr>
      </w:pPr>
    </w:p>
    <w:p>
      <w:pPr>
        <w:pStyle w:val="5"/>
        <w:ind w:left="817"/>
      </w:pPr>
      <w:r>
        <w:rPr>
          <w:rFonts w:hint="default"/>
          <w:lang w:val="en-US"/>
        </w:rPr>
        <w:t>Contents of delivery include</w:t>
      </w:r>
      <w:r>
        <w:t>:</w:t>
      </w:r>
    </w:p>
    <w:p>
      <w:pPr>
        <w:pStyle w:val="5"/>
        <w:spacing w:line="298" w:lineRule="exact"/>
        <w:ind w:left="537"/>
        <w:rPr>
          <w:rFonts w:hint="default"/>
          <w:lang w:val="en-US"/>
        </w:rPr>
      </w:pPr>
      <w:r>
        <w:t>-</w:t>
      </w:r>
      <w:r>
        <w:rPr>
          <w:rFonts w:hint="default"/>
          <w:lang w:val="en-US"/>
        </w:rPr>
        <w:t xml:space="preserve"> Self-resetting fuse</w:t>
      </w:r>
      <w:r>
        <w:t xml:space="preserve"> – 1 </w:t>
      </w:r>
      <w:r>
        <w:rPr>
          <w:rFonts w:hint="default"/>
          <w:lang w:val="en-US"/>
        </w:rPr>
        <w:t>unit</w:t>
      </w:r>
    </w:p>
    <w:p>
      <w:pPr>
        <w:pStyle w:val="5"/>
        <w:spacing w:before="1"/>
        <w:ind w:left="537"/>
        <w:rPr>
          <w:rFonts w:hint="default"/>
          <w:lang w:val="en-US"/>
        </w:rPr>
      </w:pPr>
      <w:r>
        <w:t>-</w:t>
      </w:r>
      <w:r>
        <w:rPr>
          <w:rFonts w:hint="default"/>
          <w:lang w:val="en-US"/>
        </w:rPr>
        <w:t xml:space="preserve"> Passport </w:t>
      </w:r>
      <w:r>
        <w:t xml:space="preserve">– 1 </w:t>
      </w:r>
      <w:r>
        <w:rPr>
          <w:rFonts w:hint="default"/>
          <w:lang w:val="en-US"/>
        </w:rPr>
        <w:t>unit</w:t>
      </w:r>
    </w:p>
    <w:p>
      <w:pPr>
        <w:pStyle w:val="2"/>
        <w:ind w:right="3806"/>
        <w:rPr>
          <w:rFonts w:hint="default"/>
          <w:lang w:val="en-US"/>
        </w:rPr>
      </w:pPr>
      <w:r>
        <w:br w:type="column"/>
      </w:r>
      <w:r>
        <w:t xml:space="preserve">3 </w:t>
      </w:r>
      <w:r>
        <w:rPr>
          <w:rFonts w:hint="default"/>
          <w:lang w:val="en-US"/>
        </w:rPr>
        <w:t>COMPLETENESS</w:t>
      </w:r>
    </w:p>
    <w:p>
      <w:pPr>
        <w:pStyle w:val="5"/>
        <w:rPr>
          <w:sz w:val="30"/>
        </w:rPr>
      </w:pPr>
    </w:p>
    <w:p>
      <w:pPr>
        <w:pStyle w:val="5"/>
        <w:rPr>
          <w:sz w:val="30"/>
        </w:rPr>
      </w:pPr>
    </w:p>
    <w:p>
      <w:pPr>
        <w:pStyle w:val="5"/>
        <w:spacing w:before="10"/>
        <w:rPr>
          <w:sz w:val="38"/>
        </w:rPr>
      </w:pPr>
    </w:p>
    <w:p>
      <w:pPr>
        <w:spacing w:before="0"/>
        <w:ind w:left="223" w:right="3806" w:firstLine="0"/>
        <w:jc w:val="center"/>
        <w:rPr>
          <w:rFonts w:hint="default"/>
          <w:sz w:val="28"/>
          <w:lang w:val="en-US"/>
        </w:rPr>
      </w:pPr>
      <w:r>
        <w:rPr>
          <w:sz w:val="28"/>
        </w:rPr>
        <w:t xml:space="preserve">4 </w:t>
      </w:r>
      <w:r>
        <w:rPr>
          <w:rFonts w:hint="default"/>
          <w:sz w:val="28"/>
          <w:lang w:val="en-US"/>
        </w:rPr>
        <w:t>PACKAGE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960" w:right="580" w:bottom="280" w:left="740" w:header="720" w:footer="720" w:gutter="0"/>
          <w:cols w:equalWidth="0" w:num="2">
            <w:col w:w="3788" w:space="40"/>
            <w:col w:w="6762"/>
          </w:cols>
        </w:sectPr>
      </w:pPr>
    </w:p>
    <w:p>
      <w:pPr>
        <w:pStyle w:val="5"/>
        <w:ind w:left="537"/>
        <w:rPr>
          <w:rFonts w:hint="default"/>
          <w:lang w:val="en-US"/>
        </w:rPr>
      </w:pPr>
      <w:r>
        <w:rPr>
          <w:rFonts w:hint="default"/>
          <w:lang w:val="en-US"/>
        </w:rPr>
        <w:t xml:space="preserve">Self-resetting fuse is delivered in individual package of </w:t>
      </w:r>
      <w:r>
        <w:t>ZIP-lock</w:t>
      </w:r>
      <w:r>
        <w:rPr>
          <w:rFonts w:hint="default"/>
          <w:lang w:val="en-US"/>
        </w:rPr>
        <w:t xml:space="preserve"> type</w:t>
      </w:r>
      <w:r>
        <w:rPr>
          <w:rFonts w:hint="default"/>
          <w:lang w:val="ru-RU"/>
        </w:rPr>
        <w:t>.</w:t>
      </w:r>
    </w:p>
    <w:p>
      <w:pPr>
        <w:pStyle w:val="5"/>
        <w:rPr>
          <w:sz w:val="28"/>
        </w:rPr>
      </w:pPr>
    </w:p>
    <w:p>
      <w:pPr>
        <w:pStyle w:val="2"/>
        <w:spacing w:before="217" w:line="322" w:lineRule="exact"/>
        <w:ind w:left="3386"/>
        <w:rPr>
          <w:rFonts w:hint="default"/>
          <w:lang w:val="ru-RU"/>
        </w:rPr>
      </w:pPr>
      <w:r>
        <w:t xml:space="preserve">5 </w:t>
      </w:r>
      <w:r>
        <w:rPr>
          <w:rFonts w:hint="default"/>
          <w:lang w:val="en-US"/>
        </w:rPr>
        <w:t>CLAIM</w:t>
      </w:r>
    </w:p>
    <w:p>
      <w:pPr>
        <w:pStyle w:val="5"/>
        <w:spacing w:line="299" w:lineRule="exact"/>
        <w:ind w:left="537"/>
        <w:rPr>
          <w:rFonts w:hint="default"/>
          <w:lang w:val="ru-RU"/>
        </w:rPr>
      </w:pPr>
      <w:r>
        <w:rPr>
          <w:rFonts w:hint="default"/>
          <w:lang w:val="en-US"/>
        </w:rPr>
        <w:t>Manufacturer</w:t>
      </w:r>
      <w:r>
        <w:rPr>
          <w:rFonts w:hint="default"/>
          <w:lang w:val="ru-RU"/>
        </w:rPr>
        <w:t xml:space="preserve">: </w:t>
      </w:r>
      <w:r>
        <w:rPr>
          <w:rFonts w:hint="default"/>
          <w:lang w:val="en-US"/>
        </w:rPr>
        <w:t>LLC “NIS-GLONASS”</w:t>
      </w:r>
    </w:p>
    <w:p>
      <w:pPr>
        <w:keepNext w:val="0"/>
        <w:keepLines w:val="0"/>
        <w:widowControl/>
        <w:suppressLineNumbers w:val="0"/>
        <w:ind w:firstLine="520" w:firstLineChars="200"/>
        <w:jc w:val="left"/>
        <w:rPr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Address: Zipovskaya, d. 5, korp. 1, liter 2B Krasnodar, Krasnodar Region, Russia 350010 </w:t>
      </w:r>
    </w:p>
    <w:p>
      <w:pPr>
        <w:keepNext w:val="0"/>
        <w:keepLines w:val="0"/>
        <w:widowControl/>
        <w:suppressLineNumbers w:val="0"/>
        <w:ind w:firstLine="520" w:firstLineChars="200"/>
        <w:jc w:val="left"/>
        <w:rPr>
          <w:sz w:val="26"/>
          <w:szCs w:val="2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Website: http://glonasssoft.ru</w:t>
      </w:r>
      <w:bookmarkStart w:id="0" w:name="_GoBack"/>
      <w:bookmarkEnd w:id="0"/>
    </w:p>
    <w:p>
      <w:pPr>
        <w:pStyle w:val="5"/>
        <w:spacing w:line="299" w:lineRule="exact"/>
        <w:ind w:left="537"/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8"/>
        </w:rPr>
      </w:pPr>
    </w:p>
    <w:p>
      <w:pPr>
        <w:pStyle w:val="2"/>
        <w:ind w:left="0" w:right="157"/>
      </w:pPr>
      <w:r>
        <w:rPr>
          <w:w w:val="100"/>
        </w:rPr>
        <w:t>2</w:t>
      </w:r>
    </w:p>
    <w:sectPr>
      <w:type w:val="continuous"/>
      <w:pgSz w:w="11910" w:h="16840"/>
      <w:pgMar w:top="960" w:right="580" w:bottom="280" w:left="7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D12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89"/>
      <w:ind w:left="223" w:right="315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ru-RU" w:eastAsia="en-US" w:bidi="ar-SA"/>
    </w:rPr>
  </w:style>
  <w:style w:type="paragraph" w:customStyle="1" w:styleId="8">
    <w:name w:val="Table Paragraph"/>
    <w:basedOn w:val="1"/>
    <w:qFormat/>
    <w:uiPriority w:val="1"/>
    <w:pPr>
      <w:spacing w:line="280" w:lineRule="exact"/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2022-04-06T11:32:00Z</dcterms:created>
  <dc:creator>Verch</dc:creator>
  <cp:lastModifiedBy>WPS_1634655806</cp:lastModifiedBy>
  <dcterms:modified xsi:type="dcterms:W3CDTF">2022-04-06T12:09:23Z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2022-04-06T00:00:00Z</vt:filetime>
  </property>
  <property fmtid="{D5CDD505-2E9C-101B-9397-08002B2CF9AE}" pid="5" name="KSOProductBuildVer">
    <vt:lpwstr>1049-11.2.0.11042</vt:lpwstr>
  </property>
  <property fmtid="{D5CDD505-2E9C-101B-9397-08002B2CF9AE}" pid="6" name="ICV">
    <vt:lpwstr>648D958DCC0E4B7BBC7EE4BF28D804B2</vt:lpwstr>
  </property>
</Properties>
</file>